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5D2C7C" w14:textId="491BF83C" w:rsidR="00214E6A" w:rsidRPr="004A1A95" w:rsidRDefault="00214E6A" w:rsidP="00214E6A">
      <w:pPr>
        <w:pStyle w:val="3GPPHeader"/>
        <w:spacing w:after="60"/>
        <w:rPr>
          <w:sz w:val="32"/>
          <w:szCs w:val="32"/>
        </w:rPr>
      </w:pPr>
      <w:r>
        <w:t>3GPP RAN WG2 Meeting #1</w:t>
      </w:r>
      <w:r w:rsidR="00AC76A8">
        <w:t>1</w:t>
      </w:r>
      <w:r w:rsidR="00EC108B">
        <w:t>2</w:t>
      </w:r>
      <w:r w:rsidR="00AC76A8">
        <w:t>e</w:t>
      </w:r>
      <w:r w:rsidRPr="004A1A95">
        <w:tab/>
      </w:r>
      <w:r w:rsidRPr="00102774">
        <w:rPr>
          <w:rFonts w:cs="Arial"/>
          <w:bCs/>
          <w:sz w:val="26"/>
          <w:szCs w:val="26"/>
        </w:rPr>
        <w:t>R2-</w:t>
      </w:r>
      <w:r w:rsidR="00AC76A8">
        <w:rPr>
          <w:rFonts w:cs="Arial"/>
          <w:bCs/>
          <w:sz w:val="26"/>
          <w:szCs w:val="26"/>
        </w:rPr>
        <w:t>20</w:t>
      </w:r>
      <w:r w:rsidR="00910475">
        <w:rPr>
          <w:rFonts w:cs="Arial"/>
          <w:bCs/>
          <w:sz w:val="26"/>
          <w:szCs w:val="26"/>
        </w:rPr>
        <w:t>10452</w:t>
      </w:r>
    </w:p>
    <w:p w14:paraId="698051DC" w14:textId="2CF3CB40" w:rsidR="00214E6A" w:rsidRPr="00702A88" w:rsidRDefault="00AC76A8" w:rsidP="00214E6A">
      <w:pPr>
        <w:pStyle w:val="3GPPHeader"/>
      </w:pPr>
      <w:proofErr w:type="spellStart"/>
      <w:r>
        <w:t>eMeeting</w:t>
      </w:r>
      <w:proofErr w:type="spellEnd"/>
      <w:r w:rsidR="00214E6A" w:rsidRPr="00CC0905">
        <w:t xml:space="preserve"> </w:t>
      </w:r>
      <w:r w:rsidR="00EC108B">
        <w:t>November 2</w:t>
      </w:r>
      <w:r w:rsidR="00EC108B" w:rsidRPr="00EC108B">
        <w:rPr>
          <w:vertAlign w:val="superscript"/>
        </w:rPr>
        <w:t>nd</w:t>
      </w:r>
      <w:r w:rsidR="00EC108B">
        <w:t xml:space="preserve"> – 13</w:t>
      </w:r>
      <w:r w:rsidR="00EC108B" w:rsidRPr="00EC108B">
        <w:rPr>
          <w:vertAlign w:val="superscript"/>
        </w:rPr>
        <w:t>th</w:t>
      </w:r>
      <w:r w:rsidR="004040A2">
        <w:t>,</w:t>
      </w:r>
      <w:r w:rsidR="00214E6A" w:rsidRPr="00CC0905">
        <w:t xml:space="preserve"> 20</w:t>
      </w:r>
      <w:r w:rsidR="003D2B16">
        <w:t>20</w:t>
      </w:r>
      <w:r w:rsidR="00CD05AE">
        <w:t xml:space="preserve">                                    </w:t>
      </w:r>
      <w:r w:rsidR="0024763F">
        <w:t xml:space="preserve">   </w:t>
      </w:r>
    </w:p>
    <w:p w14:paraId="7AD14354" w14:textId="4BD52498"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347583">
        <w:rPr>
          <w:sz w:val="22"/>
          <w:szCs w:val="22"/>
          <w:lang w:val="sv-SE"/>
        </w:rPr>
        <w:t>8.10.3.1</w:t>
      </w:r>
    </w:p>
    <w:p w14:paraId="4910E89F" w14:textId="77777777" w:rsidR="00214E6A" w:rsidRPr="00F108E2" w:rsidRDefault="00214E6A" w:rsidP="00214E6A">
      <w:pPr>
        <w:pStyle w:val="3GPPHeader"/>
        <w:rPr>
          <w:sz w:val="22"/>
          <w:szCs w:val="22"/>
          <w:lang w:val="en-US"/>
        </w:rPr>
      </w:pPr>
      <w:r w:rsidRPr="00F108E2">
        <w:rPr>
          <w:sz w:val="22"/>
          <w:szCs w:val="22"/>
          <w:lang w:val="en-US"/>
        </w:rPr>
        <w:t>Source:</w:t>
      </w:r>
      <w:r w:rsidRPr="00F108E2">
        <w:rPr>
          <w:sz w:val="22"/>
          <w:szCs w:val="22"/>
          <w:lang w:val="en-US"/>
        </w:rPr>
        <w:tab/>
        <w:t>InterDigital</w:t>
      </w:r>
    </w:p>
    <w:p w14:paraId="28B90663" w14:textId="73AE149C"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F108E2">
        <w:rPr>
          <w:sz w:val="22"/>
          <w:szCs w:val="22"/>
        </w:rPr>
        <w:t>Feeder link switch</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77777777" w:rsidR="00214E6A" w:rsidRDefault="00214E6A" w:rsidP="00214E6A">
      <w:pPr>
        <w:pStyle w:val="Heading1"/>
      </w:pPr>
      <w:r w:rsidRPr="004A1A95">
        <w:t>Introduction</w:t>
      </w:r>
    </w:p>
    <w:p w14:paraId="7FBDADBA" w14:textId="04553BCE" w:rsidR="00F0212A" w:rsidRDefault="00F0212A" w:rsidP="00FA29D0">
      <w:r>
        <w:t>From RAN2#111e, the following agreements were reached regarding feeder-link switch in non-terrestrial networks (NTN) [</w:t>
      </w:r>
      <w:r w:rsidR="00066650">
        <w:t>1</w:t>
      </w:r>
      <w:r w:rsidR="00542B89">
        <w:t>]:</w:t>
      </w:r>
    </w:p>
    <w:p w14:paraId="35666BB4" w14:textId="77777777" w:rsidR="00542B89" w:rsidRPr="00542B89" w:rsidRDefault="00542B89" w:rsidP="00542B89">
      <w:pPr>
        <w:pStyle w:val="ListParagraph"/>
        <w:numPr>
          <w:ilvl w:val="0"/>
          <w:numId w:val="16"/>
        </w:numPr>
        <w:rPr>
          <w:rFonts w:ascii="Arial" w:hAnsi="Arial" w:cs="Arial"/>
          <w:i/>
          <w:sz w:val="20"/>
        </w:rPr>
      </w:pPr>
      <w:r w:rsidRPr="00542B89">
        <w:rPr>
          <w:rFonts w:ascii="Arial" w:hAnsi="Arial" w:cs="Arial"/>
          <w:i/>
          <w:sz w:val="20"/>
        </w:rPr>
        <w:t>Both soft and hard feeder link switchover (e.g. for Non GSO) are supported.</w:t>
      </w:r>
    </w:p>
    <w:p w14:paraId="186043E3" w14:textId="1D1B24FB" w:rsidR="00542B89" w:rsidRPr="00542B89" w:rsidRDefault="00542B89" w:rsidP="00542B89">
      <w:pPr>
        <w:pStyle w:val="ListParagraph"/>
        <w:rPr>
          <w:rFonts w:ascii="Arial" w:hAnsi="Arial" w:cs="Arial"/>
          <w:i/>
          <w:sz w:val="20"/>
        </w:rPr>
      </w:pPr>
      <w:r w:rsidRPr="00542B89">
        <w:rPr>
          <w:rFonts w:ascii="Arial" w:hAnsi="Arial" w:cs="Arial"/>
          <w:i/>
          <w:sz w:val="20"/>
        </w:rPr>
        <w:t>Note: This requires satellite to be connected to one NTN GW at a time (hard switch) or at least two NTN GWs simultaneously (soft switch).</w:t>
      </w:r>
    </w:p>
    <w:p w14:paraId="395686BA" w14:textId="6652FA7C" w:rsidR="00542B89" w:rsidRPr="00542B89" w:rsidRDefault="00542B89" w:rsidP="00542B89">
      <w:pPr>
        <w:pStyle w:val="ListParagraph"/>
        <w:numPr>
          <w:ilvl w:val="0"/>
          <w:numId w:val="16"/>
        </w:numPr>
        <w:rPr>
          <w:rFonts w:ascii="Arial" w:hAnsi="Arial" w:cs="Arial"/>
          <w:i/>
          <w:sz w:val="20"/>
        </w:rPr>
      </w:pPr>
      <w:r w:rsidRPr="00542B89">
        <w:rPr>
          <w:rFonts w:ascii="Arial" w:hAnsi="Arial" w:cs="Arial"/>
          <w:i/>
          <w:sz w:val="20"/>
        </w:rPr>
        <w:t>RAN2 to start discussing enhancements for soft feeder link switchover and then solutions for hard feeder link switchover.</w:t>
      </w:r>
    </w:p>
    <w:p w14:paraId="699E27D0" w14:textId="4B329ECD" w:rsidR="00214E6A" w:rsidRPr="000C3C1B" w:rsidRDefault="00542B89" w:rsidP="00FA29D0">
      <w:r>
        <w:t>Furthermore, an email discussing triggered after RAN2#111e [</w:t>
      </w:r>
      <w:r w:rsidR="00066650">
        <w:t>2</w:t>
      </w:r>
      <w:r>
        <w:t xml:space="preserve">] was tasked to evaluate impacts of feeder-link switch to RAN2. </w:t>
      </w:r>
      <w:r w:rsidR="00214E6A">
        <w:t xml:space="preserve">This contribution </w:t>
      </w:r>
      <w:r w:rsidR="00AA62D6">
        <w:t>provides views on ongoing feeder-link discussion.</w:t>
      </w:r>
    </w:p>
    <w:p w14:paraId="736A3CFD" w14:textId="2F9EBA69" w:rsidR="00214E6A" w:rsidRDefault="00214E6A" w:rsidP="00214E6A">
      <w:pPr>
        <w:pStyle w:val="Heading1"/>
      </w:pPr>
      <w:r>
        <w:t>Discussion</w:t>
      </w:r>
    </w:p>
    <w:p w14:paraId="3FE08FC8" w14:textId="1661ABCD" w:rsidR="007B5387" w:rsidRPr="007B5387" w:rsidRDefault="007B5387" w:rsidP="000915AC">
      <w:pPr>
        <w:pStyle w:val="Heading2"/>
        <w:rPr>
          <w:lang w:val="en-US"/>
        </w:rPr>
      </w:pPr>
      <w:r w:rsidRPr="007B5387">
        <w:rPr>
          <w:lang w:val="en-US"/>
        </w:rPr>
        <w:t xml:space="preserve">Feeder Link Switch for Transparent LEO </w:t>
      </w:r>
    </w:p>
    <w:p w14:paraId="76EE489B" w14:textId="77777777" w:rsidR="007B5387" w:rsidRPr="007B5387" w:rsidRDefault="007B5387" w:rsidP="001D02F8">
      <w:pPr>
        <w:rPr>
          <w:lang w:val="en-US"/>
        </w:rPr>
      </w:pPr>
      <w:r w:rsidRPr="007B5387">
        <w:rPr>
          <w:lang w:val="en-US"/>
        </w:rPr>
        <w:t xml:space="preserve">Rel-17 NTN will support both GEO and LEO satellite constellations, where GEO deployments are characterized by large propagation delay and cell size, however stationary and approximately fixed relative to a point on earth. Though propagation delay and cell size </w:t>
      </w:r>
      <w:proofErr w:type="gramStart"/>
      <w:r w:rsidRPr="007B5387">
        <w:rPr>
          <w:lang w:val="en-US"/>
        </w:rPr>
        <w:t>is</w:t>
      </w:r>
      <w:proofErr w:type="gramEnd"/>
      <w:r w:rsidRPr="007B5387">
        <w:rPr>
          <w:lang w:val="en-US"/>
        </w:rPr>
        <w:t xml:space="preserve"> less in LEO deployments, satellites move relative to a fixed point on earth with cells either moving along the ground, or fixed via e.g. beam steering techniques. </w:t>
      </w:r>
    </w:p>
    <w:p w14:paraId="5D12A2AD" w14:textId="77777777" w:rsidR="007B5387" w:rsidRPr="007B5387" w:rsidRDefault="007B5387" w:rsidP="001D02F8">
      <w:pPr>
        <w:rPr>
          <w:lang w:val="en-US"/>
        </w:rPr>
      </w:pPr>
      <w:r w:rsidRPr="007B5387">
        <w:rPr>
          <w:lang w:val="en-US"/>
        </w:rPr>
        <w:t xml:space="preserve">Furthermore, in the Rel-17 NTN WID, it is assumed that a transparent or “bent-pipe” configuration will be deployed, where the gNB is located on the ground and a satellite relays </w:t>
      </w:r>
      <w:proofErr w:type="spellStart"/>
      <w:r w:rsidRPr="007B5387">
        <w:rPr>
          <w:lang w:val="en-US"/>
        </w:rPr>
        <w:t>signalling</w:t>
      </w:r>
      <w:proofErr w:type="spellEnd"/>
      <w:r w:rsidRPr="007B5387">
        <w:rPr>
          <w:lang w:val="en-US"/>
        </w:rPr>
        <w:t xml:space="preserve"> between the gNB and the UE. This configuration is comprised of two “links”: that associated with the connection between the gNB (via a gateway) and satellite, defined as the “feeder-link” and that between the UE and satellite. </w:t>
      </w:r>
    </w:p>
    <w:p w14:paraId="6F5D54C4" w14:textId="34745F14" w:rsidR="007B5387" w:rsidRPr="007B5387" w:rsidRDefault="007B5387" w:rsidP="001D02F8">
      <w:pPr>
        <w:rPr>
          <w:lang w:val="en-US"/>
        </w:rPr>
      </w:pPr>
      <w:r w:rsidRPr="007B5387">
        <w:rPr>
          <w:lang w:val="en-US"/>
        </w:rPr>
        <w:t>As transparent LEO satellites move around the earth, the satellite may pass a transition point where the serving gNB falls out of coverage, for example, due to the curvature of the earth. At this transition point (or within a time period before), the satellite must establish a new feeder link to an alternative gNB</w:t>
      </w:r>
      <w:r w:rsidR="008C4976">
        <w:rPr>
          <w:lang w:val="en-US"/>
        </w:rPr>
        <w:t xml:space="preserve"> (via a gateway)</w:t>
      </w:r>
      <w:r w:rsidRPr="007B5387">
        <w:rPr>
          <w:lang w:val="en-US"/>
        </w:rPr>
        <w:t xml:space="preserve">. The point at which the satellite establishes a connection to a new land-based gNB is referred to in the TR as a feeder link switch. </w:t>
      </w:r>
    </w:p>
    <w:p w14:paraId="4330D5F6" w14:textId="5497D966" w:rsidR="00D03484" w:rsidRDefault="007B5387" w:rsidP="00D03484">
      <w:pPr>
        <w:rPr>
          <w:lang w:val="en-US"/>
        </w:rPr>
      </w:pPr>
      <w:r w:rsidRPr="007B5387">
        <w:rPr>
          <w:lang w:val="en-US"/>
        </w:rPr>
        <w:t xml:space="preserve">Two methods to perform a feeder link switch have been </w:t>
      </w:r>
      <w:r w:rsidR="00906E36">
        <w:rPr>
          <w:lang w:val="en-US"/>
        </w:rPr>
        <w:t>agreed for further study</w:t>
      </w:r>
      <w:r w:rsidRPr="007B5387">
        <w:rPr>
          <w:lang w:val="en-US"/>
        </w:rPr>
        <w:t xml:space="preserve">: a “hard” feeder link switch and a “soft” feeder link switch. A hard feeder link switch requires the satellite to only maintain one feeder link at a time, thus </w:t>
      </w:r>
      <w:r w:rsidR="003033E1">
        <w:rPr>
          <w:lang w:val="en-US"/>
        </w:rPr>
        <w:t>before</w:t>
      </w:r>
      <w:r w:rsidRPr="007B5387">
        <w:rPr>
          <w:lang w:val="en-US"/>
        </w:rPr>
        <w:t xml:space="preserve"> establishing a connection to a new gNB, the satellite must first sever the connection with the former serving gNB. A soft feeder link switch allows the satellite to maintain multiple feeder links for a period prior to severing the connection with the former serving gNB, assuming that the satellite can represent cells of two different </w:t>
      </w:r>
      <w:proofErr w:type="spellStart"/>
      <w:r w:rsidRPr="007B5387">
        <w:rPr>
          <w:lang w:val="en-US"/>
        </w:rPr>
        <w:t>gNBs</w:t>
      </w:r>
      <w:proofErr w:type="spellEnd"/>
      <w:r w:rsidRPr="007B5387">
        <w:rPr>
          <w:lang w:val="en-US"/>
        </w:rPr>
        <w:t xml:space="preserve"> over a given area using the same satellite, but via different </w:t>
      </w:r>
      <w:proofErr w:type="gramStart"/>
      <w:r w:rsidRPr="007B5387">
        <w:rPr>
          <w:lang w:val="en-US"/>
        </w:rPr>
        <w:t>land-based</w:t>
      </w:r>
      <w:proofErr w:type="gramEnd"/>
      <w:r w:rsidRPr="007B5387">
        <w:rPr>
          <w:lang w:val="en-US"/>
        </w:rPr>
        <w:t xml:space="preserve"> GWs. </w:t>
      </w:r>
    </w:p>
    <w:p w14:paraId="4D778007" w14:textId="54A56FE8" w:rsidR="007B5387" w:rsidRPr="007B5387" w:rsidRDefault="00D03484" w:rsidP="00D03484">
      <w:pPr>
        <w:pStyle w:val="Heading2"/>
        <w:rPr>
          <w:lang w:val="en-US"/>
        </w:rPr>
      </w:pPr>
      <w:r>
        <w:rPr>
          <w:lang w:val="en-US"/>
        </w:rPr>
        <w:t>Issues and e</w:t>
      </w:r>
      <w:r w:rsidR="000915AC">
        <w:rPr>
          <w:lang w:val="en-US"/>
        </w:rPr>
        <w:t>nhancements for feeder-link switch</w:t>
      </w:r>
    </w:p>
    <w:p w14:paraId="0BF5CB66" w14:textId="6CA86ADE" w:rsidR="007B5387" w:rsidRDefault="00C11AFD" w:rsidP="007B5387">
      <w:pPr>
        <w:rPr>
          <w:lang w:val="en-US"/>
        </w:rPr>
      </w:pPr>
      <w:r>
        <w:rPr>
          <w:lang w:val="en-US"/>
        </w:rPr>
        <w:t>From ongoing RAN2 email discussion [</w:t>
      </w:r>
      <w:r w:rsidR="00066650">
        <w:rPr>
          <w:lang w:val="en-US"/>
        </w:rPr>
        <w:t>2</w:t>
      </w:r>
      <w:r>
        <w:rPr>
          <w:lang w:val="en-US"/>
        </w:rPr>
        <w:t>], most companies have indicated that the following issues should be addressed for both hard and soft feeder-link switch</w:t>
      </w:r>
      <w:r w:rsidR="00396CBE">
        <w:rPr>
          <w:lang w:val="en-US"/>
        </w:rPr>
        <w:t xml:space="preserve"> (</w:t>
      </w:r>
      <w:r w:rsidR="00EE1876">
        <w:rPr>
          <w:lang w:val="en-US"/>
        </w:rPr>
        <w:t>w</w:t>
      </w:r>
      <w:r w:rsidR="00396CBE">
        <w:rPr>
          <w:lang w:val="en-US"/>
        </w:rPr>
        <w:t>ith the additional hard switch issue of service interruption due to tearing down one feeder &amp; service link and building another</w:t>
      </w:r>
      <w:r w:rsidR="006A58F5">
        <w:rPr>
          <w:lang w:val="en-US"/>
        </w:rPr>
        <w:t>)</w:t>
      </w:r>
      <w:r>
        <w:rPr>
          <w:lang w:val="en-US"/>
        </w:rPr>
        <w:t>:</w:t>
      </w:r>
    </w:p>
    <w:p w14:paraId="3357EE01" w14:textId="77777777" w:rsidR="00C11AFD" w:rsidRPr="00C11AFD" w:rsidRDefault="00C11AFD" w:rsidP="00C11AFD">
      <w:pPr>
        <w:pStyle w:val="ListParagraph"/>
        <w:numPr>
          <w:ilvl w:val="0"/>
          <w:numId w:val="15"/>
        </w:numPr>
        <w:overflowPunct w:val="0"/>
        <w:autoSpaceDE w:val="0"/>
        <w:autoSpaceDN w:val="0"/>
        <w:adjustRightInd w:val="0"/>
        <w:spacing w:before="120" w:after="120" w:line="240" w:lineRule="auto"/>
        <w:jc w:val="both"/>
        <w:rPr>
          <w:rFonts w:ascii="Arial" w:hAnsi="Arial" w:cs="Arial"/>
          <w:bCs/>
          <w:i/>
          <w:sz w:val="20"/>
          <w:lang w:val="en-GB" w:eastAsia="ja-JP"/>
        </w:rPr>
      </w:pPr>
      <w:r w:rsidRPr="00C11AFD">
        <w:rPr>
          <w:rFonts w:ascii="Arial" w:hAnsi="Arial" w:cs="Arial"/>
          <w:bCs/>
          <w:i/>
          <w:sz w:val="20"/>
        </w:rPr>
        <w:t>Many connected mode UEs need to be moved to next cell within the duration of the feeder link switch</w:t>
      </w:r>
    </w:p>
    <w:p w14:paraId="4F526305" w14:textId="26AD9BAC" w:rsidR="00C11AFD" w:rsidRPr="00C11AFD" w:rsidRDefault="00C11AFD" w:rsidP="00C11AFD">
      <w:pPr>
        <w:pStyle w:val="ListParagraph"/>
        <w:numPr>
          <w:ilvl w:val="0"/>
          <w:numId w:val="15"/>
        </w:numPr>
        <w:overflowPunct w:val="0"/>
        <w:autoSpaceDE w:val="0"/>
        <w:autoSpaceDN w:val="0"/>
        <w:adjustRightInd w:val="0"/>
        <w:spacing w:before="120" w:after="120" w:line="240" w:lineRule="auto"/>
        <w:jc w:val="both"/>
        <w:rPr>
          <w:rFonts w:ascii="Arial" w:hAnsi="Arial" w:cs="Arial"/>
          <w:bCs/>
          <w:i/>
          <w:sz w:val="20"/>
        </w:rPr>
      </w:pPr>
      <w:r w:rsidRPr="00C11AFD">
        <w:rPr>
          <w:rFonts w:ascii="Arial" w:hAnsi="Arial" w:cs="Arial"/>
          <w:bCs/>
          <w:i/>
          <w:sz w:val="20"/>
        </w:rPr>
        <w:t xml:space="preserve">Many idle mode UEs need to reselect another cell </w:t>
      </w:r>
    </w:p>
    <w:p w14:paraId="776C4CA0" w14:textId="23F6BF3C" w:rsidR="001602A0" w:rsidRPr="001946BF" w:rsidRDefault="00E5121B" w:rsidP="001602A0">
      <w:pPr>
        <w:rPr>
          <w:lang w:val="en-US"/>
        </w:rPr>
      </w:pPr>
      <w:r>
        <w:rPr>
          <w:lang w:val="en-US"/>
        </w:rPr>
        <w:lastRenderedPageBreak/>
        <w:t xml:space="preserve">As </w:t>
      </w:r>
      <w:r w:rsidR="00C11AFD">
        <w:rPr>
          <w:lang w:val="en-US"/>
        </w:rPr>
        <w:t xml:space="preserve">LEO satellite movement is mostly deterministic, the </w:t>
      </w:r>
      <w:r w:rsidR="00C63872">
        <w:rPr>
          <w:lang w:val="en-US"/>
        </w:rPr>
        <w:t>time/location</w:t>
      </w:r>
      <w:r w:rsidR="00C11AFD">
        <w:rPr>
          <w:lang w:val="en-US"/>
        </w:rPr>
        <w:t xml:space="preserve"> in which </w:t>
      </w:r>
      <w:r w:rsidR="00C63872">
        <w:rPr>
          <w:lang w:val="en-US"/>
        </w:rPr>
        <w:t>a</w:t>
      </w:r>
      <w:r w:rsidR="00C11AFD">
        <w:rPr>
          <w:lang w:val="en-US"/>
        </w:rPr>
        <w:t xml:space="preserve"> feeder-link switch will occur can be known ahead of time</w:t>
      </w:r>
      <w:r w:rsidR="00844B75">
        <w:rPr>
          <w:lang w:val="en-US"/>
        </w:rPr>
        <w:t xml:space="preserve"> by the network</w:t>
      </w:r>
      <w:r w:rsidR="00C11AFD">
        <w:rPr>
          <w:lang w:val="en-US"/>
        </w:rPr>
        <w:t xml:space="preserve">. </w:t>
      </w:r>
      <w:r w:rsidR="00D338B2">
        <w:rPr>
          <w:lang w:val="en-US"/>
        </w:rPr>
        <w:t xml:space="preserve">Supporting enhancements which leverage this </w:t>
      </w:r>
      <w:r w:rsidR="00D51214">
        <w:rPr>
          <w:lang w:val="en-US"/>
        </w:rPr>
        <w:t xml:space="preserve">advanced </w:t>
      </w:r>
      <w:r w:rsidR="00D338B2">
        <w:rPr>
          <w:lang w:val="en-US"/>
        </w:rPr>
        <w:t>information e</w:t>
      </w:r>
      <w:r w:rsidR="009A69FE">
        <w:rPr>
          <w:lang w:val="en-US"/>
        </w:rPr>
        <w:t>nabl</w:t>
      </w:r>
      <w:r w:rsidR="00D338B2">
        <w:rPr>
          <w:lang w:val="en-US"/>
        </w:rPr>
        <w:t>e</w:t>
      </w:r>
      <w:r w:rsidR="009A69FE">
        <w:rPr>
          <w:lang w:val="en-US"/>
        </w:rPr>
        <w:t xml:space="preserve"> </w:t>
      </w:r>
      <w:r>
        <w:rPr>
          <w:lang w:val="en-US"/>
        </w:rPr>
        <w:t>preparation</w:t>
      </w:r>
      <w:r w:rsidR="00D338B2">
        <w:rPr>
          <w:lang w:val="en-US"/>
        </w:rPr>
        <w:t xml:space="preserve"> </w:t>
      </w:r>
      <w:r w:rsidR="00FD1BC8">
        <w:rPr>
          <w:lang w:val="en-US"/>
        </w:rPr>
        <w:t xml:space="preserve">prior to </w:t>
      </w:r>
      <w:r w:rsidR="00D51214">
        <w:rPr>
          <w:lang w:val="en-US"/>
        </w:rPr>
        <w:t xml:space="preserve">the </w:t>
      </w:r>
      <w:r w:rsidR="00FD1BC8">
        <w:rPr>
          <w:lang w:val="en-US"/>
        </w:rPr>
        <w:t xml:space="preserve">feeder-link </w:t>
      </w:r>
      <w:r w:rsidR="00D51214">
        <w:rPr>
          <w:lang w:val="en-US"/>
        </w:rPr>
        <w:t>switch</w:t>
      </w:r>
      <w:r w:rsidR="00532925">
        <w:rPr>
          <w:lang w:val="en-US"/>
        </w:rPr>
        <w:t>,</w:t>
      </w:r>
      <w:r w:rsidR="005F31D2">
        <w:rPr>
          <w:lang w:val="en-US"/>
        </w:rPr>
        <w:t xml:space="preserve"> (e.g. providing handover configuration in advance) </w:t>
      </w:r>
      <w:r w:rsidR="00F83420">
        <w:rPr>
          <w:lang w:val="en-US"/>
        </w:rPr>
        <w:t xml:space="preserve">which </w:t>
      </w:r>
      <w:r w:rsidR="005F31D2">
        <w:rPr>
          <w:lang w:val="en-US"/>
        </w:rPr>
        <w:t xml:space="preserve">can minimize the possibility of service interruption and reduce the </w:t>
      </w:r>
      <w:r w:rsidR="002314C5">
        <w:rPr>
          <w:lang w:val="en-US"/>
        </w:rPr>
        <w:t xml:space="preserve">instantaneous </w:t>
      </w:r>
      <w:r w:rsidR="005F31D2">
        <w:rPr>
          <w:lang w:val="en-US"/>
        </w:rPr>
        <w:t xml:space="preserve">signaling </w:t>
      </w:r>
      <w:r w:rsidR="002314C5">
        <w:rPr>
          <w:lang w:val="en-US"/>
        </w:rPr>
        <w:t>load as the configurations do not need to be provided to all UEs at once</w:t>
      </w:r>
      <w:r w:rsidR="005F31D2">
        <w:rPr>
          <w:lang w:val="en-US"/>
        </w:rPr>
        <w:t>.</w:t>
      </w:r>
      <w:r w:rsidR="001602A0">
        <w:rPr>
          <w:lang w:val="en-US"/>
        </w:rPr>
        <w:t xml:space="preserve"> </w:t>
      </w:r>
    </w:p>
    <w:p w14:paraId="32253E4B" w14:textId="627ED3C7" w:rsidR="001602A0" w:rsidRDefault="001602A0" w:rsidP="00C11AFD">
      <w:pPr>
        <w:rPr>
          <w:lang w:val="en-US"/>
        </w:rPr>
      </w:pPr>
      <w:r>
        <w:rPr>
          <w:lang w:val="en-US"/>
        </w:rPr>
        <w:t xml:space="preserve">This proactive approach would be beneficial as compared to a more reactive solution such as enhancing the re-establishment procedure, where even though service interruption time may be reduced, </w:t>
      </w:r>
      <w:r w:rsidR="008C4976">
        <w:rPr>
          <w:lang w:val="en-US"/>
        </w:rPr>
        <w:t xml:space="preserve">it may still be quite significant </w:t>
      </w:r>
      <w:r>
        <w:rPr>
          <w:lang w:val="en-US"/>
        </w:rPr>
        <w:t>due to the large propagation delay</w:t>
      </w:r>
      <w:r w:rsidR="003E4BD6">
        <w:rPr>
          <w:lang w:val="en-US"/>
        </w:rPr>
        <w:t xml:space="preserve">. </w:t>
      </w:r>
      <w:r>
        <w:rPr>
          <w:lang w:val="en-US"/>
        </w:rPr>
        <w:t>This delay may</w:t>
      </w:r>
      <w:r w:rsidR="00E30644">
        <w:rPr>
          <w:lang w:val="en-US"/>
        </w:rPr>
        <w:t xml:space="preserve"> also</w:t>
      </w:r>
      <w:r>
        <w:rPr>
          <w:lang w:val="en-US"/>
        </w:rPr>
        <w:t xml:space="preserve"> be further compounded if all UEs </w:t>
      </w:r>
      <w:r w:rsidR="00E30644">
        <w:rPr>
          <w:lang w:val="en-US"/>
        </w:rPr>
        <w:t xml:space="preserve">attempt to </w:t>
      </w:r>
      <w:r>
        <w:rPr>
          <w:lang w:val="en-US"/>
        </w:rPr>
        <w:t>perform this action simultaneously</w:t>
      </w:r>
      <w:r w:rsidR="003E4BD6">
        <w:rPr>
          <w:lang w:val="en-US"/>
        </w:rPr>
        <w:t>, resulting in failed initial re-establishment due to an overloaded channel</w:t>
      </w:r>
      <w:r>
        <w:rPr>
          <w:lang w:val="en-US"/>
        </w:rPr>
        <w:t>.</w:t>
      </w:r>
    </w:p>
    <w:p w14:paraId="7B26311C" w14:textId="3A52BAA9" w:rsidR="00E5121B" w:rsidRPr="00DD4F71" w:rsidRDefault="00E5121B" w:rsidP="00E5121B">
      <w:pPr>
        <w:ind w:left="1440" w:hanging="1440"/>
        <w:rPr>
          <w:b/>
          <w:lang w:eastAsia="sv-SE"/>
        </w:rPr>
      </w:pPr>
      <w:r w:rsidRPr="00DD4F71">
        <w:rPr>
          <w:b/>
          <w:lang w:eastAsia="sv-SE"/>
        </w:rPr>
        <w:t xml:space="preserve">Proposal 1: </w:t>
      </w:r>
      <w:r w:rsidRPr="00DD4F71">
        <w:rPr>
          <w:b/>
          <w:lang w:eastAsia="sv-SE"/>
        </w:rPr>
        <w:tab/>
      </w:r>
      <w:r w:rsidR="00744BF5">
        <w:rPr>
          <w:b/>
          <w:lang w:eastAsia="sv-SE"/>
        </w:rPr>
        <w:t>E</w:t>
      </w:r>
      <w:r>
        <w:rPr>
          <w:b/>
          <w:lang w:eastAsia="sv-SE"/>
        </w:rPr>
        <w:t>nhancements which enable advanced preparation</w:t>
      </w:r>
      <w:r w:rsidR="00744BF5">
        <w:rPr>
          <w:b/>
          <w:lang w:eastAsia="sv-SE"/>
        </w:rPr>
        <w:t xml:space="preserve"> or notification</w:t>
      </w:r>
      <w:r w:rsidR="008F7F8D">
        <w:rPr>
          <w:b/>
          <w:lang w:eastAsia="sv-SE"/>
        </w:rPr>
        <w:t xml:space="preserve"> </w:t>
      </w:r>
      <w:r w:rsidR="00744BF5">
        <w:rPr>
          <w:b/>
          <w:lang w:eastAsia="sv-SE"/>
        </w:rPr>
        <w:t xml:space="preserve">before feeder-link switch </w:t>
      </w:r>
      <w:r w:rsidR="008F7F8D">
        <w:rPr>
          <w:b/>
          <w:lang w:eastAsia="sv-SE"/>
        </w:rPr>
        <w:t>(e.g. pre-configuration</w:t>
      </w:r>
      <w:r w:rsidR="008A05C2">
        <w:rPr>
          <w:b/>
          <w:lang w:eastAsia="sv-SE"/>
        </w:rPr>
        <w:t xml:space="preserve"> or indication</w:t>
      </w:r>
      <w:r w:rsidR="008F7F8D">
        <w:rPr>
          <w:b/>
          <w:lang w:eastAsia="sv-SE"/>
        </w:rPr>
        <w:t>)</w:t>
      </w:r>
      <w:r w:rsidR="005A6C79">
        <w:rPr>
          <w:b/>
          <w:lang w:eastAsia="sv-SE"/>
        </w:rPr>
        <w:t xml:space="preserve"> should</w:t>
      </w:r>
      <w:r>
        <w:rPr>
          <w:b/>
          <w:lang w:eastAsia="sv-SE"/>
        </w:rPr>
        <w:t xml:space="preserve"> be prioritized.</w:t>
      </w:r>
    </w:p>
    <w:p w14:paraId="00F6AD9A" w14:textId="77777777" w:rsidR="00E30644" w:rsidRDefault="007D16A1" w:rsidP="007B5387">
      <w:r>
        <w:t xml:space="preserve">The amount of preparation </w:t>
      </w:r>
      <w:r w:rsidR="00FA71C1">
        <w:t>possible</w:t>
      </w:r>
      <w:r>
        <w:t xml:space="preserve"> naturally depends on the connection state of the UE. For UEs in connected mode, existing </w:t>
      </w:r>
      <w:r w:rsidR="002154D5">
        <w:t xml:space="preserve">Rel-16 </w:t>
      </w:r>
      <w:r>
        <w:t>solutions such as conditional handover (CHO), defined as the UE having network configuration for initiating access to the target cell based on configured conditions</w:t>
      </w:r>
      <w:r w:rsidR="002154D5">
        <w:t>,</w:t>
      </w:r>
      <w:r>
        <w:t xml:space="preserve"> is a natural candidate for feeder-link </w:t>
      </w:r>
      <w:r w:rsidR="002154D5">
        <w:t>s</w:t>
      </w:r>
      <w:r>
        <w:t>witch.</w:t>
      </w:r>
      <w:r w:rsidR="002D72D3">
        <w:t xml:space="preserve"> </w:t>
      </w:r>
    </w:p>
    <w:p w14:paraId="6C99BB57" w14:textId="533196D9" w:rsidR="00D3414C" w:rsidRDefault="00E30644" w:rsidP="007B5387">
      <w:r>
        <w:t xml:space="preserve">However, </w:t>
      </w:r>
      <w:r w:rsidR="00E461A2">
        <w:t>i</w:t>
      </w:r>
      <w:r w:rsidR="002D72D3">
        <w:t>t is noted that the existing measurement-based triggering criteria may be insufficient for this purpose</w:t>
      </w:r>
      <w:r>
        <w:t>, e.g. depending on the relative measurements between the “old” and “new” gNB</w:t>
      </w:r>
      <w:r w:rsidR="00E461A2">
        <w:t xml:space="preserve">. </w:t>
      </w:r>
      <w:r>
        <w:t>For example, if the RSRP from the new gNB is greatly superior, the trigger criteria may be fulfilled for all UEs simultaneously, resulting in RACH collisions. On the other hand, if measurements to the new gNB are worse</w:t>
      </w:r>
      <w:r w:rsidR="009261FD">
        <w:t>,</w:t>
      </w:r>
      <w:r>
        <w:t xml:space="preserve"> no UEs will transition (or transition too late) and the connection will be severed without fulfilling the CHO trigger criteria</w:t>
      </w:r>
      <w:r w:rsidR="00235BD7">
        <w:t xml:space="preserve"> at all</w:t>
      </w:r>
      <w:r>
        <w:t>.</w:t>
      </w:r>
      <w:r w:rsidR="00E461A2">
        <w:t xml:space="preserve">  To provide greater control over when CHO is triggered, </w:t>
      </w:r>
      <w:r w:rsidR="002D72D3">
        <w:t>NTN specific triggers such as time/location should be further studied</w:t>
      </w:r>
      <w:r w:rsidR="00E461A2">
        <w:t xml:space="preserve"> (additional discussion on NTN CHO triggers can be found in a companion contribution [</w:t>
      </w:r>
      <w:r w:rsidR="002A587A">
        <w:t>3</w:t>
      </w:r>
      <w:r w:rsidR="00E461A2">
        <w:t>])</w:t>
      </w:r>
    </w:p>
    <w:p w14:paraId="19936E42" w14:textId="655D96D7" w:rsidR="002D72D3" w:rsidRPr="00DD4F71" w:rsidRDefault="002D72D3" w:rsidP="002D72D3">
      <w:pPr>
        <w:ind w:left="1440" w:hanging="1440"/>
        <w:rPr>
          <w:b/>
          <w:lang w:eastAsia="sv-SE"/>
        </w:rPr>
      </w:pPr>
      <w:r w:rsidRPr="00DD4F71">
        <w:rPr>
          <w:b/>
          <w:lang w:eastAsia="sv-SE"/>
        </w:rPr>
        <w:t xml:space="preserve">Proposal </w:t>
      </w:r>
      <w:r>
        <w:rPr>
          <w:b/>
          <w:lang w:eastAsia="sv-SE"/>
        </w:rPr>
        <w:t>2</w:t>
      </w:r>
      <w:r w:rsidRPr="00DD4F71">
        <w:rPr>
          <w:b/>
          <w:lang w:eastAsia="sv-SE"/>
        </w:rPr>
        <w:t xml:space="preserve">: </w:t>
      </w:r>
      <w:r w:rsidRPr="00DD4F71">
        <w:rPr>
          <w:b/>
          <w:lang w:eastAsia="sv-SE"/>
        </w:rPr>
        <w:tab/>
      </w:r>
      <w:r>
        <w:rPr>
          <w:b/>
          <w:lang w:eastAsia="sv-SE"/>
        </w:rPr>
        <w:t>Conditional Handover is</w:t>
      </w:r>
      <w:r w:rsidR="008867E0">
        <w:rPr>
          <w:b/>
          <w:lang w:eastAsia="sv-SE"/>
        </w:rPr>
        <w:t xml:space="preserve"> supported as a</w:t>
      </w:r>
      <w:r>
        <w:rPr>
          <w:b/>
          <w:lang w:eastAsia="sv-SE"/>
        </w:rPr>
        <w:t xml:space="preserve"> feeder-link switch enhancement for UEs in connected mode. FFS additional NTN-specific triggering conditions.</w:t>
      </w:r>
    </w:p>
    <w:p w14:paraId="53FF6934" w14:textId="77777777" w:rsidR="003A3FED" w:rsidRDefault="008534F8" w:rsidP="00776C03">
      <w:r>
        <w:t xml:space="preserve">For UEs in Idle/Inactive, cell (re)selection </w:t>
      </w:r>
      <w:r w:rsidR="00A5484B">
        <w:t>is performed</w:t>
      </w:r>
      <w:r>
        <w:t xml:space="preserve"> by the UE</w:t>
      </w:r>
      <w:r w:rsidR="004E4F59">
        <w:t xml:space="preserve"> thus</w:t>
      </w:r>
      <w:r>
        <w:t xml:space="preserve"> reducing network control </w:t>
      </w:r>
      <w:r w:rsidR="00997AA0">
        <w:t xml:space="preserve">of when </w:t>
      </w:r>
      <w:r w:rsidR="005F31C3">
        <w:t>a UE performs</w:t>
      </w:r>
      <w:r>
        <w:t xml:space="preserve"> mobility relative to connected mode UEs. However, solutions proposed in [</w:t>
      </w:r>
      <w:r w:rsidR="00066650">
        <w:t>2</w:t>
      </w:r>
      <w:r>
        <w:t>] discuss providing the UE at least advanced indication of feeder-link switch (e.g. via paging or SI), where such information would be useful to enable e.g. adaptions to cell ranking</w:t>
      </w:r>
      <w:r w:rsidR="003C4210">
        <w:t>/reselection</w:t>
      </w:r>
      <w:r>
        <w:t>.</w:t>
      </w:r>
      <w:r w:rsidR="003C4210">
        <w:t xml:space="preserve"> </w:t>
      </w:r>
      <w:r w:rsidR="00776C03">
        <w:t xml:space="preserve">Possible methods to indicate upcoming feeder-link switch to UE are via stored information, system information, or paging indication. </w:t>
      </w:r>
    </w:p>
    <w:p w14:paraId="79BB136F" w14:textId="4D3A35F2" w:rsidR="002D72D3" w:rsidRDefault="00776C03" w:rsidP="00776C03">
      <w:r>
        <w:t xml:space="preserve">As other NTN specific information </w:t>
      </w:r>
      <w:r w:rsidR="00A5484B">
        <w:t xml:space="preserve">will </w:t>
      </w:r>
      <w:r>
        <w:t>likely</w:t>
      </w:r>
      <w:r w:rsidR="00A5484B">
        <w:t xml:space="preserve"> be</w:t>
      </w:r>
      <w:r>
        <w:t xml:space="preserve"> carried in SIB (e.g. </w:t>
      </w:r>
      <w:proofErr w:type="spellStart"/>
      <w:r>
        <w:t>Koffset</w:t>
      </w:r>
      <w:proofErr w:type="spellEnd"/>
      <w:r>
        <w:t xml:space="preserve">, satellite ephemeris), for simplicity the feeder-link switch indication </w:t>
      </w:r>
      <w:r w:rsidR="00063489">
        <w:t>can</w:t>
      </w:r>
      <w:r>
        <w:t xml:space="preserve"> be as well. </w:t>
      </w:r>
      <w:r w:rsidR="003A3FED">
        <w:t>It is suggested that the ti</w:t>
      </w:r>
      <w:bookmarkStart w:id="0" w:name="_GoBack"/>
      <w:bookmarkEnd w:id="0"/>
      <w:r w:rsidR="003A3FED">
        <w:t>me of feeder-link switch be included in the system information, which would be more straightforward as the UE can refer to its internal clock as opposed to requiring the UE to continuously receive updated ephemeris data to track the precise satellite location.</w:t>
      </w:r>
      <w:r w:rsidR="009B5DD7">
        <w:t xml:space="preserve"> As well, to enable possible modification to cell rankings, </w:t>
      </w:r>
      <w:r w:rsidR="001622E2">
        <w:t>some method to identify the</w:t>
      </w:r>
      <w:r w:rsidR="009B5DD7">
        <w:t xml:space="preserve"> new gNB</w:t>
      </w:r>
      <w:r w:rsidR="002E6E2C">
        <w:t xml:space="preserve"> (e.g. new PCI)</w:t>
      </w:r>
      <w:r w:rsidR="009B5DD7">
        <w:t xml:space="preserve"> should be provided.</w:t>
      </w:r>
      <w:r w:rsidR="003A3FED">
        <w:t xml:space="preserve"> Detailed contents of NTN-specific information in SIB however can be FFS.</w:t>
      </w:r>
    </w:p>
    <w:p w14:paraId="46839F8A" w14:textId="6D34B2F7" w:rsidR="007B5387" w:rsidRPr="00F10A11" w:rsidRDefault="003C4210" w:rsidP="00F10A11">
      <w:pPr>
        <w:ind w:left="1440" w:hanging="1440"/>
        <w:rPr>
          <w:b/>
          <w:lang w:eastAsia="sv-SE"/>
        </w:rPr>
      </w:pPr>
      <w:r w:rsidRPr="00DD4F71">
        <w:rPr>
          <w:b/>
          <w:lang w:eastAsia="sv-SE"/>
        </w:rPr>
        <w:t xml:space="preserve">Proposal </w:t>
      </w:r>
      <w:r>
        <w:rPr>
          <w:b/>
          <w:lang w:eastAsia="sv-SE"/>
        </w:rPr>
        <w:t>3</w:t>
      </w:r>
      <w:r w:rsidRPr="00DD4F71">
        <w:rPr>
          <w:b/>
          <w:lang w:eastAsia="sv-SE"/>
        </w:rPr>
        <w:t xml:space="preserve">: </w:t>
      </w:r>
      <w:r w:rsidRPr="00DD4F71">
        <w:rPr>
          <w:b/>
          <w:lang w:eastAsia="sv-SE"/>
        </w:rPr>
        <w:tab/>
      </w:r>
      <w:r>
        <w:rPr>
          <w:b/>
          <w:lang w:eastAsia="sv-SE"/>
        </w:rPr>
        <w:t>UE in idle/inactive are informed</w:t>
      </w:r>
      <w:r w:rsidRPr="003C4210">
        <w:rPr>
          <w:b/>
          <w:lang w:eastAsia="sv-SE"/>
        </w:rPr>
        <w:t xml:space="preserve"> of the upcoming feeder link switch (about PCI leaving and another PCI appearing due to feeder link switch)</w:t>
      </w:r>
      <w:r w:rsidR="0093475E">
        <w:rPr>
          <w:b/>
          <w:lang w:eastAsia="sv-SE"/>
        </w:rPr>
        <w:t xml:space="preserve"> in system information. </w:t>
      </w:r>
    </w:p>
    <w:p w14:paraId="0B6D7D6F" w14:textId="77777777" w:rsidR="00214E6A" w:rsidRPr="004A1A95" w:rsidRDefault="00214E6A" w:rsidP="00214E6A">
      <w:pPr>
        <w:pStyle w:val="Heading1"/>
      </w:pPr>
      <w:r w:rsidRPr="004A1A95">
        <w:t>Conclusion</w:t>
      </w:r>
    </w:p>
    <w:p w14:paraId="66F0DF76" w14:textId="6F4A76B0" w:rsidR="00E013C6" w:rsidRDefault="00214E6A" w:rsidP="00C6277A">
      <w:pPr>
        <w:tabs>
          <w:tab w:val="left" w:pos="0"/>
        </w:tabs>
      </w:pPr>
      <w:r>
        <w:t xml:space="preserve">In this contribution the following proposals were made </w:t>
      </w:r>
      <w:r w:rsidR="00F10A11">
        <w:t>regarding feeder-link switch in NTN:</w:t>
      </w:r>
    </w:p>
    <w:p w14:paraId="61996898" w14:textId="77777777" w:rsidR="00491F4D" w:rsidRPr="00DD4F71" w:rsidRDefault="00491F4D" w:rsidP="00491F4D">
      <w:pPr>
        <w:ind w:left="1440" w:hanging="1440"/>
        <w:rPr>
          <w:b/>
          <w:lang w:eastAsia="sv-SE"/>
        </w:rPr>
      </w:pPr>
      <w:r w:rsidRPr="00DD4F71">
        <w:rPr>
          <w:b/>
          <w:lang w:eastAsia="sv-SE"/>
        </w:rPr>
        <w:t xml:space="preserve">Proposal 1: </w:t>
      </w:r>
      <w:r w:rsidRPr="00DD4F71">
        <w:rPr>
          <w:b/>
          <w:lang w:eastAsia="sv-SE"/>
        </w:rPr>
        <w:tab/>
      </w:r>
      <w:r>
        <w:rPr>
          <w:b/>
          <w:lang w:eastAsia="sv-SE"/>
        </w:rPr>
        <w:t>Enhancements which enable advanced preparation or notification before feeder-link switch (e.g. pre-configuration or indication) should be prioritized.</w:t>
      </w:r>
    </w:p>
    <w:p w14:paraId="1FB63632" w14:textId="77777777" w:rsidR="00491F4D" w:rsidRPr="00DD4F71" w:rsidRDefault="00491F4D" w:rsidP="00491F4D">
      <w:pPr>
        <w:ind w:left="1440" w:hanging="1440"/>
        <w:rPr>
          <w:b/>
          <w:lang w:eastAsia="sv-SE"/>
        </w:rPr>
      </w:pPr>
      <w:r w:rsidRPr="00DD4F71">
        <w:rPr>
          <w:b/>
          <w:lang w:eastAsia="sv-SE"/>
        </w:rPr>
        <w:t xml:space="preserve">Proposal </w:t>
      </w:r>
      <w:r>
        <w:rPr>
          <w:b/>
          <w:lang w:eastAsia="sv-SE"/>
        </w:rPr>
        <w:t>2</w:t>
      </w:r>
      <w:r w:rsidRPr="00DD4F71">
        <w:rPr>
          <w:b/>
          <w:lang w:eastAsia="sv-SE"/>
        </w:rPr>
        <w:t xml:space="preserve">: </w:t>
      </w:r>
      <w:r w:rsidRPr="00DD4F71">
        <w:rPr>
          <w:b/>
          <w:lang w:eastAsia="sv-SE"/>
        </w:rPr>
        <w:tab/>
      </w:r>
      <w:r>
        <w:rPr>
          <w:b/>
          <w:lang w:eastAsia="sv-SE"/>
        </w:rPr>
        <w:t>Conditional Handover is supported as a feeder-link switch enhancement for UEs in connected mode. FFS additional NTN-specific triggering conditions.</w:t>
      </w:r>
    </w:p>
    <w:p w14:paraId="13F77B41" w14:textId="77777777" w:rsidR="00491F4D" w:rsidRPr="00F10A11" w:rsidRDefault="00491F4D" w:rsidP="00491F4D">
      <w:pPr>
        <w:ind w:left="1440" w:hanging="1440"/>
        <w:rPr>
          <w:b/>
          <w:lang w:eastAsia="sv-SE"/>
        </w:rPr>
      </w:pPr>
      <w:r w:rsidRPr="00DD4F71">
        <w:rPr>
          <w:b/>
          <w:lang w:eastAsia="sv-SE"/>
        </w:rPr>
        <w:t xml:space="preserve">Proposal </w:t>
      </w:r>
      <w:r>
        <w:rPr>
          <w:b/>
          <w:lang w:eastAsia="sv-SE"/>
        </w:rPr>
        <w:t>3</w:t>
      </w:r>
      <w:r w:rsidRPr="00DD4F71">
        <w:rPr>
          <w:b/>
          <w:lang w:eastAsia="sv-SE"/>
        </w:rPr>
        <w:t xml:space="preserve">: </w:t>
      </w:r>
      <w:r w:rsidRPr="00DD4F71">
        <w:rPr>
          <w:b/>
          <w:lang w:eastAsia="sv-SE"/>
        </w:rPr>
        <w:tab/>
      </w:r>
      <w:r>
        <w:rPr>
          <w:b/>
          <w:lang w:eastAsia="sv-SE"/>
        </w:rPr>
        <w:t>UE in idle/inactive are informed</w:t>
      </w:r>
      <w:r w:rsidRPr="003C4210">
        <w:rPr>
          <w:b/>
          <w:lang w:eastAsia="sv-SE"/>
        </w:rPr>
        <w:t xml:space="preserve"> of the upcoming feeder link switch (about PCI leaving and another PCI appearing due to feeder link switch)</w:t>
      </w:r>
      <w:r>
        <w:rPr>
          <w:b/>
          <w:lang w:eastAsia="sv-SE"/>
        </w:rPr>
        <w:t xml:space="preserve"> in system information. </w:t>
      </w:r>
    </w:p>
    <w:p w14:paraId="377E0382" w14:textId="77777777" w:rsidR="00214E6A" w:rsidRPr="00066650" w:rsidRDefault="00214E6A" w:rsidP="00214E6A">
      <w:pPr>
        <w:pStyle w:val="Heading1"/>
      </w:pPr>
      <w:r w:rsidRPr="00066650">
        <w:t>References</w:t>
      </w:r>
    </w:p>
    <w:p w14:paraId="19B0FFC4" w14:textId="0F416E51" w:rsidR="00166C9B" w:rsidRPr="00066650" w:rsidRDefault="00066650" w:rsidP="00166C9B">
      <w:pPr>
        <w:pStyle w:val="Reference"/>
        <w:spacing w:after="60"/>
        <w:rPr>
          <w:rFonts w:cs="Arial"/>
          <w:szCs w:val="18"/>
          <w:lang w:val="en-US"/>
        </w:rPr>
      </w:pPr>
      <w:r w:rsidRPr="00066650">
        <w:rPr>
          <w:rFonts w:cs="Arial"/>
          <w:szCs w:val="18"/>
          <w:lang w:val="en-US"/>
        </w:rPr>
        <w:t>Draft_Ran2_111-e_Meeting_Report_v1</w:t>
      </w:r>
    </w:p>
    <w:p w14:paraId="5C31E075" w14:textId="7FFC0A63" w:rsidR="00066650" w:rsidRDefault="00066650" w:rsidP="00166C9B">
      <w:pPr>
        <w:pStyle w:val="Reference"/>
        <w:spacing w:after="60"/>
        <w:rPr>
          <w:rFonts w:cs="Arial"/>
          <w:szCs w:val="18"/>
          <w:lang w:val="en-US"/>
        </w:rPr>
      </w:pPr>
      <w:r w:rsidRPr="00066650">
        <w:rPr>
          <w:rFonts w:cs="Arial"/>
          <w:szCs w:val="18"/>
          <w:lang w:val="en-US"/>
        </w:rPr>
        <w:t>R2-20xxxxx [Post111</w:t>
      </w:r>
      <w:proofErr w:type="gramStart"/>
      <w:r w:rsidRPr="00066650">
        <w:rPr>
          <w:rFonts w:cs="Arial"/>
          <w:szCs w:val="18"/>
          <w:lang w:val="en-US"/>
        </w:rPr>
        <w:t>e][</w:t>
      </w:r>
      <w:proofErr w:type="gramEnd"/>
      <w:r w:rsidRPr="00066650">
        <w:rPr>
          <w:rFonts w:cs="Arial"/>
          <w:szCs w:val="18"/>
          <w:lang w:val="en-US"/>
        </w:rPr>
        <w:t>910][NTN] Impacts of earth fixed and moving beams (Ericsson)</w:t>
      </w:r>
    </w:p>
    <w:p w14:paraId="2265B772" w14:textId="4E305792" w:rsidR="00697E1B" w:rsidRPr="001622E2" w:rsidRDefault="002A587A" w:rsidP="00697E1B">
      <w:pPr>
        <w:pStyle w:val="Reference"/>
        <w:spacing w:after="60"/>
        <w:rPr>
          <w:rFonts w:cs="Arial"/>
          <w:szCs w:val="18"/>
          <w:lang w:val="en-US"/>
        </w:rPr>
      </w:pPr>
      <w:r w:rsidRPr="002A587A">
        <w:rPr>
          <w:rFonts w:cs="Arial"/>
          <w:szCs w:val="18"/>
          <w:lang w:val="en-US"/>
        </w:rPr>
        <w:t>R2-20</w:t>
      </w:r>
      <w:r w:rsidR="001E141D">
        <w:rPr>
          <w:rFonts w:cs="Arial"/>
          <w:szCs w:val="18"/>
          <w:lang w:val="en-US"/>
        </w:rPr>
        <w:t>10454</w:t>
      </w:r>
      <w:r w:rsidRPr="002A587A">
        <w:rPr>
          <w:rFonts w:cs="Arial"/>
          <w:szCs w:val="18"/>
          <w:lang w:val="en-US"/>
        </w:rPr>
        <w:t xml:space="preserve"> Connected mode mobility i</w:t>
      </w:r>
      <w:r>
        <w:rPr>
          <w:rFonts w:cs="Arial"/>
          <w:szCs w:val="18"/>
          <w:lang w:val="en-US"/>
        </w:rPr>
        <w:t>n NTN - InterDigital</w:t>
      </w:r>
    </w:p>
    <w:sectPr w:rsidR="00697E1B" w:rsidRPr="001622E2">
      <w:footerReference w:type="default" r:id="rId1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C1AA0" w16cex:dateUtc="2020-10-22T18:50:00Z"/>
  <w16cex:commentExtensible w16cex:durableId="233C1B1A" w16cex:dateUtc="2020-10-22T18:52:00Z"/>
  <w16cex:commentExtensible w16cex:durableId="233C1CFE" w16cex:dateUtc="2020-10-22T19:00:00Z"/>
  <w16cex:commentExtensible w16cex:durableId="233C1D78" w16cex:dateUtc="2020-10-22T19:02:00Z"/>
  <w16cex:commentExtensible w16cex:durableId="233C1E04" w16cex:dateUtc="2020-10-22T19:0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9BC52" w14:textId="77777777" w:rsidR="00FA2DC2" w:rsidRDefault="00FA2DC2">
      <w:pPr>
        <w:spacing w:after="0"/>
      </w:pPr>
      <w:r>
        <w:separator/>
      </w:r>
    </w:p>
  </w:endnote>
  <w:endnote w:type="continuationSeparator" w:id="0">
    <w:p w14:paraId="6A0395F8" w14:textId="77777777" w:rsidR="00FA2DC2" w:rsidRDefault="00FA2D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D707A" w14:textId="77777777" w:rsidR="00CB642D" w:rsidRDefault="00214E6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F225A8" w14:textId="77777777" w:rsidR="00FA2DC2" w:rsidRDefault="00FA2DC2">
      <w:pPr>
        <w:spacing w:after="0"/>
      </w:pPr>
      <w:r>
        <w:separator/>
      </w:r>
    </w:p>
  </w:footnote>
  <w:footnote w:type="continuationSeparator" w:id="0">
    <w:p w14:paraId="68BD556D" w14:textId="77777777" w:rsidR="00FA2DC2" w:rsidRDefault="00FA2D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1"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37178D"/>
    <w:multiLevelType w:val="hybridMultilevel"/>
    <w:tmpl w:val="88E4344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181CAC"/>
    <w:multiLevelType w:val="hybridMultilevel"/>
    <w:tmpl w:val="4B8A40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BA2D66"/>
    <w:multiLevelType w:val="multilevel"/>
    <w:tmpl w:val="49BA2D6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D054B9"/>
    <w:multiLevelType w:val="multilevel"/>
    <w:tmpl w:val="E4CE6544"/>
    <w:lvl w:ilvl="0">
      <w:start w:val="6"/>
      <w:numFmt w:val="bullet"/>
      <w:lvlText w:val="-"/>
      <w:lvlJc w:val="left"/>
      <w:pPr>
        <w:ind w:left="780" w:hanging="360"/>
      </w:pPr>
      <w:rPr>
        <w:rFonts w:ascii="Arial" w:eastAsia="MS Mincho" w:hAnsi="Arial" w:cs="Aria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3"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8"/>
  </w:num>
  <w:num w:numId="3">
    <w:abstractNumId w:val="9"/>
  </w:num>
  <w:num w:numId="4">
    <w:abstractNumId w:val="15"/>
  </w:num>
  <w:num w:numId="5">
    <w:abstractNumId w:val="3"/>
  </w:num>
  <w:num w:numId="6">
    <w:abstractNumId w:val="14"/>
  </w:num>
  <w:num w:numId="7">
    <w:abstractNumId w:val="10"/>
  </w:num>
  <w:num w:numId="8">
    <w:abstractNumId w:val="0"/>
  </w:num>
  <w:num w:numId="9">
    <w:abstractNumId w:val="11"/>
  </w:num>
  <w:num w:numId="10">
    <w:abstractNumId w:val="13"/>
  </w:num>
  <w:num w:numId="11">
    <w:abstractNumId w:val="5"/>
  </w:num>
  <w:num w:numId="12">
    <w:abstractNumId w:val="2"/>
  </w:num>
  <w:num w:numId="13">
    <w:abstractNumId w:val="4"/>
  </w:num>
  <w:num w:numId="14">
    <w:abstractNumId w:val="7"/>
  </w:num>
  <w:num w:numId="15">
    <w:abstractNumId w:val="12"/>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13648"/>
    <w:rsid w:val="000600DC"/>
    <w:rsid w:val="00063489"/>
    <w:rsid w:val="00064052"/>
    <w:rsid w:val="00066650"/>
    <w:rsid w:val="000674C7"/>
    <w:rsid w:val="0008793C"/>
    <w:rsid w:val="00091494"/>
    <w:rsid w:val="000915AC"/>
    <w:rsid w:val="000B3CE8"/>
    <w:rsid w:val="000B3F22"/>
    <w:rsid w:val="00111E13"/>
    <w:rsid w:val="00143787"/>
    <w:rsid w:val="001602A0"/>
    <w:rsid w:val="001622E2"/>
    <w:rsid w:val="00166C9B"/>
    <w:rsid w:val="001946BF"/>
    <w:rsid w:val="001D02F8"/>
    <w:rsid w:val="001E141D"/>
    <w:rsid w:val="001F0AF9"/>
    <w:rsid w:val="00214E6A"/>
    <w:rsid w:val="002154D5"/>
    <w:rsid w:val="002314C5"/>
    <w:rsid w:val="00235BD7"/>
    <w:rsid w:val="0024763F"/>
    <w:rsid w:val="002950B8"/>
    <w:rsid w:val="002A587A"/>
    <w:rsid w:val="002B4173"/>
    <w:rsid w:val="002C4C84"/>
    <w:rsid w:val="002C7497"/>
    <w:rsid w:val="002D2EB9"/>
    <w:rsid w:val="002D3C8A"/>
    <w:rsid w:val="002D72D3"/>
    <w:rsid w:val="002E6E2C"/>
    <w:rsid w:val="002F3704"/>
    <w:rsid w:val="003033E1"/>
    <w:rsid w:val="00330B3E"/>
    <w:rsid w:val="00347583"/>
    <w:rsid w:val="00383D4F"/>
    <w:rsid w:val="00396CBE"/>
    <w:rsid w:val="0039750E"/>
    <w:rsid w:val="003A2818"/>
    <w:rsid w:val="003A2C98"/>
    <w:rsid w:val="003A3FED"/>
    <w:rsid w:val="003C4210"/>
    <w:rsid w:val="003D2B16"/>
    <w:rsid w:val="003E4BD6"/>
    <w:rsid w:val="004040A2"/>
    <w:rsid w:val="00440C2E"/>
    <w:rsid w:val="00443CC3"/>
    <w:rsid w:val="00451891"/>
    <w:rsid w:val="00491F4D"/>
    <w:rsid w:val="004E08DF"/>
    <w:rsid w:val="004E4F59"/>
    <w:rsid w:val="00532925"/>
    <w:rsid w:val="00542B89"/>
    <w:rsid w:val="00576B6E"/>
    <w:rsid w:val="00592F67"/>
    <w:rsid w:val="005A6C79"/>
    <w:rsid w:val="005F31C3"/>
    <w:rsid w:val="005F31D2"/>
    <w:rsid w:val="00626355"/>
    <w:rsid w:val="00697E1B"/>
    <w:rsid w:val="006A04AC"/>
    <w:rsid w:val="006A58F5"/>
    <w:rsid w:val="0070274C"/>
    <w:rsid w:val="00710564"/>
    <w:rsid w:val="00744BF5"/>
    <w:rsid w:val="00774669"/>
    <w:rsid w:val="00776C03"/>
    <w:rsid w:val="00782864"/>
    <w:rsid w:val="007B4EAD"/>
    <w:rsid w:val="007B5387"/>
    <w:rsid w:val="007D16A1"/>
    <w:rsid w:val="007F3C6F"/>
    <w:rsid w:val="008167F5"/>
    <w:rsid w:val="00823220"/>
    <w:rsid w:val="0083375E"/>
    <w:rsid w:val="00844B75"/>
    <w:rsid w:val="008534F8"/>
    <w:rsid w:val="00870158"/>
    <w:rsid w:val="008867E0"/>
    <w:rsid w:val="008A05C2"/>
    <w:rsid w:val="008B6D59"/>
    <w:rsid w:val="008C0400"/>
    <w:rsid w:val="008C4976"/>
    <w:rsid w:val="008F7F8D"/>
    <w:rsid w:val="00906E36"/>
    <w:rsid w:val="00910475"/>
    <w:rsid w:val="009261FD"/>
    <w:rsid w:val="009339C3"/>
    <w:rsid w:val="0093475E"/>
    <w:rsid w:val="00997AA0"/>
    <w:rsid w:val="009A69FE"/>
    <w:rsid w:val="009B5DD7"/>
    <w:rsid w:val="00A17039"/>
    <w:rsid w:val="00A5484B"/>
    <w:rsid w:val="00AA62D6"/>
    <w:rsid w:val="00AB5C41"/>
    <w:rsid w:val="00AC0FB7"/>
    <w:rsid w:val="00AC1B18"/>
    <w:rsid w:val="00AC211F"/>
    <w:rsid w:val="00AC76A8"/>
    <w:rsid w:val="00B642AA"/>
    <w:rsid w:val="00BD435D"/>
    <w:rsid w:val="00BE45EE"/>
    <w:rsid w:val="00C054E6"/>
    <w:rsid w:val="00C11AFD"/>
    <w:rsid w:val="00C5021B"/>
    <w:rsid w:val="00C517A5"/>
    <w:rsid w:val="00C6277A"/>
    <w:rsid w:val="00C63872"/>
    <w:rsid w:val="00CD05AE"/>
    <w:rsid w:val="00CD556B"/>
    <w:rsid w:val="00D03484"/>
    <w:rsid w:val="00D31189"/>
    <w:rsid w:val="00D338B2"/>
    <w:rsid w:val="00D3414C"/>
    <w:rsid w:val="00D51214"/>
    <w:rsid w:val="00D5166A"/>
    <w:rsid w:val="00D52628"/>
    <w:rsid w:val="00DB0AB1"/>
    <w:rsid w:val="00DB5942"/>
    <w:rsid w:val="00DF2F54"/>
    <w:rsid w:val="00E013C6"/>
    <w:rsid w:val="00E225AC"/>
    <w:rsid w:val="00E25D3D"/>
    <w:rsid w:val="00E30644"/>
    <w:rsid w:val="00E36AD3"/>
    <w:rsid w:val="00E461A2"/>
    <w:rsid w:val="00E5121B"/>
    <w:rsid w:val="00EB5786"/>
    <w:rsid w:val="00EB6654"/>
    <w:rsid w:val="00EC108B"/>
    <w:rsid w:val="00EC61DF"/>
    <w:rsid w:val="00ED3E53"/>
    <w:rsid w:val="00ED5307"/>
    <w:rsid w:val="00EE1876"/>
    <w:rsid w:val="00F00A92"/>
    <w:rsid w:val="00F0212A"/>
    <w:rsid w:val="00F108E2"/>
    <w:rsid w:val="00F10A11"/>
    <w:rsid w:val="00F41B90"/>
    <w:rsid w:val="00F83420"/>
    <w:rsid w:val="00FA29D0"/>
    <w:rsid w:val="00FA2DC2"/>
    <w:rsid w:val="00FA71C1"/>
    <w:rsid w:val="00FD1B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214E6A"/>
    <w:pPr>
      <w:tabs>
        <w:tab w:val="center" w:pos="4680"/>
        <w:tab w:val="right" w:pos="9360"/>
      </w:tabs>
      <w:spacing w:after="0"/>
    </w:pPr>
  </w:style>
  <w:style w:type="character" w:customStyle="1" w:styleId="HeaderChar">
    <w:name w:val="Header Char"/>
    <w:basedOn w:val="DefaultParagraphFont"/>
    <w:link w:val="Header"/>
    <w:uiPriority w:val="99"/>
    <w:semiHidden/>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character" w:styleId="CommentReference">
    <w:name w:val="annotation reference"/>
    <w:basedOn w:val="DefaultParagraphFont"/>
    <w:uiPriority w:val="99"/>
    <w:semiHidden/>
    <w:unhideWhenUsed/>
    <w:rsid w:val="006A04AC"/>
    <w:rPr>
      <w:sz w:val="16"/>
      <w:szCs w:val="16"/>
    </w:rPr>
  </w:style>
  <w:style w:type="paragraph" w:styleId="CommentText">
    <w:name w:val="annotation text"/>
    <w:basedOn w:val="Normal"/>
    <w:link w:val="CommentTextChar"/>
    <w:uiPriority w:val="99"/>
    <w:semiHidden/>
    <w:unhideWhenUsed/>
    <w:rsid w:val="006A04AC"/>
  </w:style>
  <w:style w:type="character" w:customStyle="1" w:styleId="CommentTextChar">
    <w:name w:val="Comment Text Char"/>
    <w:basedOn w:val="DefaultParagraphFont"/>
    <w:link w:val="CommentText"/>
    <w:uiPriority w:val="99"/>
    <w:semiHidden/>
    <w:rsid w:val="006A04AC"/>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A04AC"/>
    <w:rPr>
      <w:b/>
      <w:bCs/>
    </w:rPr>
  </w:style>
  <w:style w:type="character" w:customStyle="1" w:styleId="CommentSubjectChar">
    <w:name w:val="Comment Subject Char"/>
    <w:basedOn w:val="CommentTextChar"/>
    <w:link w:val="CommentSubject"/>
    <w:uiPriority w:val="99"/>
    <w:semiHidden/>
    <w:rsid w:val="006A04AC"/>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A04A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04AC"/>
    <w:rPr>
      <w:rFonts w:ascii="Segoe UI" w:eastAsia="Times New Roman" w:hAnsi="Segoe UI" w:cs="Segoe UI"/>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201864">
      <w:bodyDiv w:val="1"/>
      <w:marLeft w:val="0"/>
      <w:marRight w:val="0"/>
      <w:marTop w:val="0"/>
      <w:marBottom w:val="0"/>
      <w:divBdr>
        <w:top w:val="none" w:sz="0" w:space="0" w:color="auto"/>
        <w:left w:val="none" w:sz="0" w:space="0" w:color="auto"/>
        <w:bottom w:val="none" w:sz="0" w:space="0" w:color="auto"/>
        <w:right w:val="none" w:sz="0" w:space="0" w:color="auto"/>
      </w:divBdr>
    </w:div>
    <w:div w:id="1082607497">
      <w:bodyDiv w:val="1"/>
      <w:marLeft w:val="0"/>
      <w:marRight w:val="0"/>
      <w:marTop w:val="0"/>
      <w:marBottom w:val="0"/>
      <w:divBdr>
        <w:top w:val="none" w:sz="0" w:space="0" w:color="auto"/>
        <w:left w:val="none" w:sz="0" w:space="0" w:color="auto"/>
        <w:bottom w:val="none" w:sz="0" w:space="0" w:color="auto"/>
        <w:right w:val="none" w:sz="0" w:space="0" w:color="auto"/>
      </w:divBdr>
    </w:div>
    <w:div w:id="1220552090">
      <w:bodyDiv w:val="1"/>
      <w:marLeft w:val="0"/>
      <w:marRight w:val="0"/>
      <w:marTop w:val="0"/>
      <w:marBottom w:val="0"/>
      <w:divBdr>
        <w:top w:val="none" w:sz="0" w:space="0" w:color="auto"/>
        <w:left w:val="none" w:sz="0" w:space="0" w:color="auto"/>
        <w:bottom w:val="none" w:sz="0" w:space="0" w:color="auto"/>
        <w:right w:val="none" w:sz="0" w:space="0" w:color="auto"/>
      </w:divBdr>
    </w:div>
    <w:div w:id="1377312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4A77F5CD-ABD3-4048-A5EB-C450C8AF2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5A6316-9098-42C3-AEBA-C1DEA92E4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1180</Words>
  <Characters>6729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7894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cp:lastModifiedBy>
  <cp:revision>6</cp:revision>
  <dcterms:created xsi:type="dcterms:W3CDTF">2020-10-23T03:24:00Z</dcterms:created>
  <dcterms:modified xsi:type="dcterms:W3CDTF">2020-10-23T03:45:00Z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